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464F" w14:textId="686B05F8" w:rsidR="00E93104" w:rsidRPr="00275BCC" w:rsidRDefault="00E93104" w:rsidP="00E93104">
      <w:pPr>
        <w:snapToGrid w:val="0"/>
        <w:spacing w:after="0" w:line="240" w:lineRule="auto"/>
        <w:jc w:val="center"/>
        <w:rPr>
          <w:rFonts w:ascii="Times New Roman" w:hAnsi="Times New Roman" w:cs="Times New Roman"/>
          <w:b/>
          <w:bCs/>
          <w:sz w:val="28"/>
          <w:szCs w:val="28"/>
        </w:rPr>
      </w:pPr>
      <w:r w:rsidRPr="00275BCC">
        <w:rPr>
          <w:rFonts w:ascii="Times New Roman" w:hAnsi="Times New Roman" w:cs="Times New Roman"/>
          <w:b/>
          <w:bCs/>
          <w:sz w:val="28"/>
          <w:szCs w:val="28"/>
        </w:rPr>
        <w:t xml:space="preserve">PHỤ LỤC </w:t>
      </w:r>
      <w:proofErr w:type="spellStart"/>
      <w:r w:rsidR="006E7CBD">
        <w:rPr>
          <w:rFonts w:ascii="Times New Roman" w:hAnsi="Times New Roman" w:cs="Times New Roman"/>
          <w:b/>
          <w:bCs/>
          <w:sz w:val="28"/>
          <w:szCs w:val="28"/>
        </w:rPr>
        <w:t>Va</w:t>
      </w:r>
      <w:proofErr w:type="spellEnd"/>
    </w:p>
    <w:p w14:paraId="28006763" w14:textId="77777777" w:rsidR="006E7CBD" w:rsidRDefault="00E93104" w:rsidP="00E93104">
      <w:pPr>
        <w:snapToGrid w:val="0"/>
        <w:spacing w:after="0" w:line="240" w:lineRule="auto"/>
        <w:jc w:val="center"/>
        <w:rPr>
          <w:rFonts w:ascii="Times New Roman" w:hAnsi="Times New Roman" w:cs="Times New Roman"/>
          <w:i/>
          <w:iCs/>
          <w:spacing w:val="-4"/>
          <w:sz w:val="28"/>
          <w:szCs w:val="28"/>
        </w:rPr>
      </w:pPr>
      <w:r w:rsidRPr="00275BCC">
        <w:rPr>
          <w:rFonts w:ascii="Times New Roman" w:hAnsi="Times New Roman" w:cs="Times New Roman"/>
          <w:i/>
          <w:iCs/>
          <w:spacing w:val="-4"/>
          <w:sz w:val="28"/>
          <w:szCs w:val="28"/>
        </w:rPr>
        <w:t>(</w:t>
      </w:r>
      <w:proofErr w:type="spellStart"/>
      <w:r w:rsidRPr="00275BCC">
        <w:rPr>
          <w:rFonts w:ascii="Times New Roman" w:hAnsi="Times New Roman" w:cs="Times New Roman"/>
          <w:i/>
          <w:iCs/>
          <w:spacing w:val="-4"/>
          <w:sz w:val="28"/>
          <w:szCs w:val="28"/>
        </w:rPr>
        <w:t>Kèm</w:t>
      </w:r>
      <w:proofErr w:type="spellEnd"/>
      <w:r w:rsidRPr="00275BCC">
        <w:rPr>
          <w:rFonts w:ascii="Times New Roman" w:hAnsi="Times New Roman" w:cs="Times New Roman"/>
          <w:i/>
          <w:iCs/>
          <w:spacing w:val="-4"/>
          <w:sz w:val="28"/>
          <w:szCs w:val="28"/>
        </w:rPr>
        <w:t xml:space="preserve"> </w:t>
      </w:r>
      <w:proofErr w:type="spellStart"/>
      <w:r w:rsidRPr="00275BCC">
        <w:rPr>
          <w:rFonts w:ascii="Times New Roman" w:hAnsi="Times New Roman" w:cs="Times New Roman"/>
          <w:i/>
          <w:iCs/>
          <w:spacing w:val="-4"/>
          <w:sz w:val="28"/>
          <w:szCs w:val="28"/>
        </w:rPr>
        <w:t>theo</w:t>
      </w:r>
      <w:proofErr w:type="spellEnd"/>
      <w:r w:rsidRPr="00275BCC">
        <w:rPr>
          <w:rFonts w:ascii="Times New Roman" w:hAnsi="Times New Roman" w:cs="Times New Roman"/>
          <w:i/>
          <w:iCs/>
          <w:spacing w:val="-4"/>
          <w:sz w:val="28"/>
          <w:szCs w:val="28"/>
        </w:rPr>
        <w:t xml:space="preserve"> </w:t>
      </w:r>
      <w:proofErr w:type="spellStart"/>
      <w:r w:rsidRPr="00275BCC">
        <w:rPr>
          <w:rFonts w:ascii="Times New Roman" w:hAnsi="Times New Roman" w:cs="Times New Roman"/>
          <w:i/>
          <w:iCs/>
          <w:spacing w:val="-4"/>
          <w:sz w:val="28"/>
          <w:szCs w:val="28"/>
        </w:rPr>
        <w:t>Nghị</w:t>
      </w:r>
      <w:proofErr w:type="spellEnd"/>
      <w:r w:rsidRPr="00275BCC">
        <w:rPr>
          <w:rFonts w:ascii="Times New Roman" w:hAnsi="Times New Roman" w:cs="Times New Roman"/>
          <w:i/>
          <w:iCs/>
          <w:spacing w:val="-4"/>
          <w:sz w:val="28"/>
          <w:szCs w:val="28"/>
        </w:rPr>
        <w:t xml:space="preserve"> </w:t>
      </w:r>
      <w:proofErr w:type="spellStart"/>
      <w:r w:rsidRPr="00275BCC">
        <w:rPr>
          <w:rFonts w:ascii="Times New Roman" w:hAnsi="Times New Roman" w:cs="Times New Roman"/>
          <w:i/>
          <w:iCs/>
          <w:spacing w:val="-4"/>
          <w:sz w:val="28"/>
          <w:szCs w:val="28"/>
        </w:rPr>
        <w:t>định</w:t>
      </w:r>
      <w:proofErr w:type="spellEnd"/>
      <w:r w:rsidRPr="00275BCC">
        <w:rPr>
          <w:rFonts w:ascii="Times New Roman" w:hAnsi="Times New Roman" w:cs="Times New Roman"/>
          <w:i/>
          <w:iCs/>
          <w:spacing w:val="-4"/>
          <w:sz w:val="28"/>
          <w:szCs w:val="28"/>
        </w:rPr>
        <w:t xml:space="preserve"> </w:t>
      </w:r>
      <w:proofErr w:type="spellStart"/>
      <w:r w:rsidRPr="00275BCC">
        <w:rPr>
          <w:rFonts w:ascii="Times New Roman" w:hAnsi="Times New Roman" w:cs="Times New Roman"/>
          <w:i/>
          <w:iCs/>
          <w:spacing w:val="-4"/>
          <w:sz w:val="28"/>
          <w:szCs w:val="28"/>
        </w:rPr>
        <w:t>số</w:t>
      </w:r>
      <w:proofErr w:type="spellEnd"/>
      <w:r w:rsidRPr="00275BCC">
        <w:rPr>
          <w:rFonts w:ascii="Times New Roman" w:hAnsi="Times New Roman" w:cs="Times New Roman"/>
          <w:i/>
          <w:iCs/>
          <w:spacing w:val="-4"/>
          <w:sz w:val="28"/>
          <w:szCs w:val="28"/>
        </w:rPr>
        <w:t xml:space="preserve">     /2023/NĐ-CP </w:t>
      </w:r>
    </w:p>
    <w:p w14:paraId="0B0CAA18" w14:textId="6CD0F97F" w:rsidR="00E93104" w:rsidRPr="00275BCC" w:rsidRDefault="00E93104" w:rsidP="00E93104">
      <w:pPr>
        <w:snapToGrid w:val="0"/>
        <w:spacing w:after="0" w:line="240" w:lineRule="auto"/>
        <w:jc w:val="center"/>
        <w:rPr>
          <w:rFonts w:ascii="Times New Roman" w:hAnsi="Times New Roman" w:cs="Times New Roman"/>
          <w:i/>
          <w:iCs/>
          <w:spacing w:val="-4"/>
          <w:sz w:val="28"/>
          <w:szCs w:val="28"/>
        </w:rPr>
      </w:pPr>
      <w:proofErr w:type="spellStart"/>
      <w:r w:rsidRPr="00275BCC">
        <w:rPr>
          <w:rFonts w:ascii="Times New Roman" w:hAnsi="Times New Roman" w:cs="Times New Roman"/>
          <w:i/>
          <w:iCs/>
          <w:spacing w:val="-4"/>
          <w:sz w:val="28"/>
          <w:szCs w:val="28"/>
        </w:rPr>
        <w:t>ngày</w:t>
      </w:r>
      <w:proofErr w:type="spellEnd"/>
      <w:r w:rsidRPr="00275BCC">
        <w:rPr>
          <w:rFonts w:ascii="Times New Roman" w:hAnsi="Times New Roman" w:cs="Times New Roman"/>
          <w:i/>
          <w:iCs/>
          <w:spacing w:val="-4"/>
          <w:sz w:val="28"/>
          <w:szCs w:val="28"/>
        </w:rPr>
        <w:t xml:space="preserve">   </w:t>
      </w:r>
      <w:proofErr w:type="spellStart"/>
      <w:r w:rsidRPr="00275BCC">
        <w:rPr>
          <w:rFonts w:ascii="Times New Roman" w:hAnsi="Times New Roman" w:cs="Times New Roman"/>
          <w:i/>
          <w:iCs/>
          <w:spacing w:val="-4"/>
          <w:sz w:val="28"/>
          <w:szCs w:val="28"/>
        </w:rPr>
        <w:t>tháng</w:t>
      </w:r>
      <w:proofErr w:type="spellEnd"/>
      <w:r w:rsidRPr="00275BCC">
        <w:rPr>
          <w:rFonts w:ascii="Times New Roman" w:hAnsi="Times New Roman" w:cs="Times New Roman"/>
          <w:i/>
          <w:iCs/>
          <w:spacing w:val="-4"/>
          <w:sz w:val="28"/>
          <w:szCs w:val="28"/>
        </w:rPr>
        <w:t xml:space="preserve">   </w:t>
      </w:r>
      <w:proofErr w:type="spellStart"/>
      <w:r w:rsidRPr="00275BCC">
        <w:rPr>
          <w:rFonts w:ascii="Times New Roman" w:hAnsi="Times New Roman" w:cs="Times New Roman"/>
          <w:i/>
          <w:iCs/>
          <w:spacing w:val="-4"/>
          <w:sz w:val="28"/>
          <w:szCs w:val="28"/>
        </w:rPr>
        <w:t>năm</w:t>
      </w:r>
      <w:proofErr w:type="spellEnd"/>
      <w:r w:rsidRPr="00275BCC">
        <w:rPr>
          <w:rFonts w:ascii="Times New Roman" w:hAnsi="Times New Roman" w:cs="Times New Roman"/>
          <w:i/>
          <w:iCs/>
          <w:spacing w:val="-4"/>
          <w:sz w:val="28"/>
          <w:szCs w:val="28"/>
        </w:rPr>
        <w:t xml:space="preserve"> 2023 </w:t>
      </w:r>
      <w:proofErr w:type="spellStart"/>
      <w:r w:rsidRPr="00275BCC">
        <w:rPr>
          <w:rFonts w:ascii="Times New Roman" w:hAnsi="Times New Roman" w:cs="Times New Roman"/>
          <w:i/>
          <w:iCs/>
          <w:spacing w:val="-4"/>
          <w:sz w:val="28"/>
          <w:szCs w:val="28"/>
        </w:rPr>
        <w:t>của</w:t>
      </w:r>
      <w:proofErr w:type="spellEnd"/>
      <w:r w:rsidRPr="00275BCC">
        <w:rPr>
          <w:rFonts w:ascii="Times New Roman" w:hAnsi="Times New Roman" w:cs="Times New Roman"/>
          <w:i/>
          <w:iCs/>
          <w:spacing w:val="-4"/>
          <w:sz w:val="28"/>
          <w:szCs w:val="28"/>
        </w:rPr>
        <w:t xml:space="preserve"> </w:t>
      </w:r>
      <w:proofErr w:type="spellStart"/>
      <w:r w:rsidRPr="00275BCC">
        <w:rPr>
          <w:rFonts w:ascii="Times New Roman" w:hAnsi="Times New Roman" w:cs="Times New Roman"/>
          <w:i/>
          <w:iCs/>
          <w:spacing w:val="-4"/>
          <w:sz w:val="28"/>
          <w:szCs w:val="28"/>
        </w:rPr>
        <w:t>Chính</w:t>
      </w:r>
      <w:proofErr w:type="spellEnd"/>
      <w:r w:rsidRPr="00275BCC">
        <w:rPr>
          <w:rFonts w:ascii="Times New Roman" w:hAnsi="Times New Roman" w:cs="Times New Roman"/>
          <w:i/>
          <w:iCs/>
          <w:spacing w:val="-4"/>
          <w:sz w:val="28"/>
          <w:szCs w:val="28"/>
        </w:rPr>
        <w:t xml:space="preserve"> </w:t>
      </w:r>
      <w:proofErr w:type="spellStart"/>
      <w:r w:rsidRPr="00275BCC">
        <w:rPr>
          <w:rFonts w:ascii="Times New Roman" w:hAnsi="Times New Roman" w:cs="Times New Roman"/>
          <w:i/>
          <w:iCs/>
          <w:spacing w:val="-4"/>
          <w:sz w:val="28"/>
          <w:szCs w:val="28"/>
        </w:rPr>
        <w:t>phủ</w:t>
      </w:r>
      <w:proofErr w:type="spellEnd"/>
      <w:r w:rsidRPr="00275BCC">
        <w:rPr>
          <w:rFonts w:ascii="Times New Roman" w:hAnsi="Times New Roman" w:cs="Times New Roman"/>
          <w:i/>
          <w:iCs/>
          <w:spacing w:val="-4"/>
          <w:sz w:val="28"/>
          <w:szCs w:val="28"/>
        </w:rPr>
        <w:t>)</w:t>
      </w:r>
    </w:p>
    <w:p w14:paraId="7FE602F4" w14:textId="77777777" w:rsidR="00E93104" w:rsidRPr="00275BCC" w:rsidRDefault="00E93104" w:rsidP="00E93104">
      <w:pPr>
        <w:snapToGrid w:val="0"/>
        <w:spacing w:after="0" w:line="240" w:lineRule="auto"/>
        <w:jc w:val="center"/>
        <w:rPr>
          <w:rFonts w:ascii="Times New Roman" w:hAnsi="Times New Roman" w:cs="Times New Roman"/>
          <w:i/>
          <w:iCs/>
          <w:sz w:val="28"/>
          <w:szCs w:val="28"/>
        </w:rPr>
      </w:pPr>
      <w:r w:rsidRPr="00275BCC">
        <w:rPr>
          <w:rFonts w:ascii="Times New Roman" w:hAnsi="Times New Roman" w:cs="Times New Roman"/>
          <w:i/>
          <w:iCs/>
          <w:noProof/>
          <w:sz w:val="28"/>
          <w:szCs w:val="28"/>
        </w:rPr>
        <mc:AlternateContent>
          <mc:Choice Requires="wps">
            <w:drawing>
              <wp:anchor distT="0" distB="0" distL="114300" distR="114300" simplePos="0" relativeHeight="251659264" behindDoc="0" locked="0" layoutInCell="1" allowOverlap="1" wp14:anchorId="360C393C" wp14:editId="0DFC9089">
                <wp:simplePos x="0" y="0"/>
                <wp:positionH relativeFrom="margin">
                  <wp:align>center</wp:align>
                </wp:positionH>
                <wp:positionV relativeFrom="paragraph">
                  <wp:posOffset>11873</wp:posOffset>
                </wp:positionV>
                <wp:extent cx="988828"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9888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3BDB1"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5pt" to="77.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" strokecolor="black [3213]" strokeweight=".5pt">
                <v:stroke joinstyle="miter"/>
                <w10:wrap anchorx="margin"/>
              </v:line>
            </w:pict>
          </mc:Fallback>
        </mc:AlternateContent>
      </w:r>
    </w:p>
    <w:p w14:paraId="716528C5" w14:textId="328B0A52"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 xml:space="preserve">1. </w:t>
      </w:r>
      <w:r w:rsidRPr="00275BCC">
        <w:rPr>
          <w:rFonts w:ascii="Times New Roman" w:hAnsi="Times New Roman" w:cs="Times New Roman"/>
          <w:sz w:val="28"/>
          <w:szCs w:val="28"/>
          <w:lang w:val="vi-VN"/>
        </w:rPr>
        <w:t>Nhà Quốc hội, Phủ Chủ tịch, Trụ sở Chính phủ, Trụ sở Trung ương Đảng; nhà làm việc của cơ quan công an cấp Trung ương.</w:t>
      </w:r>
    </w:p>
    <w:p w14:paraId="50DA0813"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2.  Trụ sở cơ quan nhà nước cao từ 7 tầng trở lên hoặc có tổng khối tích từ 5.000 m</w:t>
      </w:r>
      <w:r w:rsidRPr="00275BCC">
        <w:rPr>
          <w:rFonts w:ascii="Times New Roman" w:eastAsia="Times New Roman" w:hAnsi="Times New Roman" w:cs="Times New Roman"/>
          <w:sz w:val="28"/>
          <w:szCs w:val="28"/>
          <w:vertAlign w:val="superscript"/>
          <w:lang w:val="vi-VN"/>
        </w:rPr>
        <w:t xml:space="preserve">3 </w:t>
      </w:r>
      <w:r w:rsidRPr="00275BCC">
        <w:rPr>
          <w:rFonts w:ascii="Times New Roman" w:eastAsia="Times New Roman" w:hAnsi="Times New Roman" w:cs="Times New Roman"/>
          <w:sz w:val="28"/>
          <w:szCs w:val="28"/>
          <w:lang w:val="vi-VN"/>
        </w:rPr>
        <w:t>trở lên, trừ các công trình nêu tại Mục 1 Phụ lục này.</w:t>
      </w:r>
    </w:p>
    <w:p w14:paraId="57749A24"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3. Nhà làm việc của doanh nghiệp, tổ chức chính trị, xã hội, nhà chung cư, nhà tập thể, nhà ở ký túc xá, nhà hỗn hợp, khách sạn, nhà khách, nhà nghỉ, nhà trọ, cơ sở lưu trú khác được thành lập theo Luật Du lịch, bưu điện, cơ sở truyền thanh, truyền hình, viễn thông, nhà lắp đặt thiết bị thông tin, trung tâm lưu trữ, quản lý dữ liệu cao từ 25 tầng trở lên.</w:t>
      </w:r>
    </w:p>
    <w:p w14:paraId="2F4A3DBB"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pacing w:val="-2"/>
          <w:sz w:val="28"/>
          <w:szCs w:val="28"/>
          <w:lang w:val="vi-VN"/>
        </w:rPr>
      </w:pPr>
      <w:r w:rsidRPr="00275BCC">
        <w:rPr>
          <w:rFonts w:ascii="Times New Roman" w:eastAsia="Times New Roman" w:hAnsi="Times New Roman" w:cs="Times New Roman"/>
          <w:spacing w:val="-2"/>
          <w:sz w:val="28"/>
          <w:szCs w:val="28"/>
          <w:lang w:val="vi-VN"/>
        </w:rPr>
        <w:t>4. Nhà làm việc của doanh nghiệp, tổ chức chính trị, xã hội, nhà chung cư, nhà tập thể, nhà ở ký túc xá, nhà hỗn hợp, khách sạn, nhà khách, nhà nghỉ, nhà trọ, cơ sở lưu trú khác được thành lập theo Luật Du lịch cao từ 7 tầng trở lên hoặc có tổng khối tích từ 5.000 m</w:t>
      </w:r>
      <w:r w:rsidRPr="00275BCC">
        <w:rPr>
          <w:rFonts w:ascii="Times New Roman" w:eastAsia="Times New Roman" w:hAnsi="Times New Roman" w:cs="Times New Roman"/>
          <w:spacing w:val="-2"/>
          <w:sz w:val="28"/>
          <w:szCs w:val="28"/>
          <w:vertAlign w:val="superscript"/>
          <w:lang w:val="vi-VN"/>
        </w:rPr>
        <w:t>3</w:t>
      </w:r>
      <w:r w:rsidRPr="00275BCC">
        <w:rPr>
          <w:rFonts w:ascii="Times New Roman" w:eastAsia="Times New Roman" w:hAnsi="Times New Roman" w:cs="Times New Roman"/>
          <w:spacing w:val="-2"/>
          <w:sz w:val="28"/>
          <w:szCs w:val="28"/>
          <w:lang w:val="vi-VN"/>
        </w:rPr>
        <w:t xml:space="preserve"> trở lên, trừ các trường hợp nêu tại Mục 3 Phụ lục này.</w:t>
      </w:r>
    </w:p>
    <w:p w14:paraId="4E2F02ED"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5. Bưu điện, cơ sở truyền thanh, truyền hình, viễn thông, nhà lắp đặt thiết bị thông tin, trung tâm lưu trữ, quản lý dữ liệu cao từ 5 tầng trở lên hoặc có tổng khối tích từ 5.000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xml:space="preserve"> trở lên, trừ các trường hợp nêu tại Mục 3 Phụ lục này.</w:t>
      </w:r>
    </w:p>
    <w:p w14:paraId="7C902FB0"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 xml:space="preserve">6. </w:t>
      </w:r>
      <w:r w:rsidRPr="00275BCC">
        <w:rPr>
          <w:rFonts w:ascii="Times New Roman" w:hAnsi="Times New Roman" w:cs="Times New Roman"/>
          <w:sz w:val="28"/>
          <w:szCs w:val="28"/>
          <w:lang w:val="vi-VN"/>
        </w:rPr>
        <w:t>Trường đại học, trường cao đẳng, trường trung học chuyên nghiệp, trường dạy nghề, trường công nhân kỹ thuật, trường nghiệp vụ có tổng số sinh viên trên 8.000.</w:t>
      </w:r>
    </w:p>
    <w:p w14:paraId="42825ADD"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7. Nhà trẻ, trường mẫu giáo, mầm non có từ 100 cháu trở lên hoặc có tổng khối tích 3.000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xml:space="preserve"> trở lên; trường tiểu học, trung học cơ sở, trung học phổ thông, trường phổ thông có nhiều cấp học có tổng khối tích từ 5.000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xml:space="preserve"> trở lên; trường cao đẳng, đại học, học viện, trường trung cấp chuyên nghiệp, trường dạy nghề, cơ sở giáo dục thường xuyên, cơ sở giáo dục khác được thành lập theo Luật Giáo dục cao từ 5 tầng trở lên hoặc có tổng khối tích từ 5.000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xml:space="preserve"> trở lên, trừ các công trình nêu tại Mục 6 Phụ lục này.</w:t>
      </w:r>
    </w:p>
    <w:p w14:paraId="1DE4A7BB"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8. Bệnh viện có tổng số giường bệnh lưu trú từ 500 trở lên.</w:t>
      </w:r>
    </w:p>
    <w:p w14:paraId="6803636F" w14:textId="18FEAE49"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pacing w:val="-2"/>
          <w:sz w:val="28"/>
          <w:szCs w:val="28"/>
          <w:lang w:val="vi-VN"/>
        </w:rPr>
      </w:pPr>
      <w:r w:rsidRPr="00275BCC">
        <w:rPr>
          <w:rFonts w:ascii="Times New Roman" w:eastAsia="Times New Roman" w:hAnsi="Times New Roman" w:cs="Times New Roman"/>
          <w:spacing w:val="-2"/>
          <w:sz w:val="28"/>
          <w:szCs w:val="28"/>
          <w:lang w:val="vi-VN"/>
        </w:rPr>
        <w:t>9. Bệnh viện có tổng số giường bệnh lưu trú dưới 500; phòng khám đa khoa, khám chuyên khoa, nhà điều dưỡng, phục hồi chức năng, chỉnh hình, nhà dưỡng lão, cơ sở phòng chống dịch bệnh, trung tâm y tế, cơ sở y tế khác được thành lập theo Luật Khám bệnh, chữa bệnh cao từ 5 tầng trở lên hoặc có tổng khối tích từ 3.000 m</w:t>
      </w:r>
      <w:r w:rsidRPr="00275BCC">
        <w:rPr>
          <w:rFonts w:ascii="Times New Roman" w:eastAsia="Times New Roman" w:hAnsi="Times New Roman" w:cs="Times New Roman"/>
          <w:spacing w:val="-2"/>
          <w:sz w:val="28"/>
          <w:szCs w:val="28"/>
          <w:vertAlign w:val="superscript"/>
          <w:lang w:val="vi-VN"/>
        </w:rPr>
        <w:t>3</w:t>
      </w:r>
      <w:r w:rsidRPr="00275BCC">
        <w:rPr>
          <w:rFonts w:ascii="Times New Roman" w:eastAsia="Times New Roman" w:hAnsi="Times New Roman" w:cs="Times New Roman"/>
          <w:spacing w:val="-2"/>
          <w:sz w:val="28"/>
          <w:szCs w:val="28"/>
          <w:lang w:val="vi-VN"/>
        </w:rPr>
        <w:t xml:space="preserve"> trở lên.</w:t>
      </w:r>
    </w:p>
    <w:p w14:paraId="650A837F"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10. Nhà hát, rạp chiếu phim, rạp xiếc có từ 300 chỗ ngồi trở lên; trung tâm hội nghị, tổ chức sự kiện cao từ 5 tầng trở lên hoặc có tổng khối tích từ 5.000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xml:space="preserve"> </w:t>
      </w:r>
      <w:r w:rsidRPr="00275BCC">
        <w:rPr>
          <w:rFonts w:ascii="Times New Roman" w:eastAsia="Times New Roman" w:hAnsi="Times New Roman" w:cs="Times New Roman"/>
          <w:sz w:val="28"/>
          <w:szCs w:val="28"/>
          <w:lang w:val="vi-VN"/>
        </w:rPr>
        <w:lastRenderedPageBreak/>
        <w:t>trở lên; nhà văn hóa, cơ sở kinh doanh dịch vụ karaoke, vũ trường, quán bar, câu lạc bộ, thẩm mỹ viện, kinh doanh dịch vụ xoa bóp, công viên giải trí, vườn thú, thủy cung cao từ 3 tầng trở lên hoặc có tổng khối tích từ 1.500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xml:space="preserve"> trở lên.</w:t>
      </w:r>
    </w:p>
    <w:p w14:paraId="5F6387BC"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vertAlign w:val="superscript"/>
          <w:lang w:val="vi-VN"/>
        </w:rPr>
      </w:pPr>
      <w:r w:rsidRPr="00275BCC">
        <w:rPr>
          <w:rFonts w:ascii="Times New Roman" w:eastAsia="Times New Roman" w:hAnsi="Times New Roman" w:cs="Times New Roman"/>
          <w:sz w:val="28"/>
          <w:szCs w:val="28"/>
          <w:lang w:val="vi-VN"/>
        </w:rPr>
        <w:t>11. Chợ, trung tâm thương mại, điện máy, siêu thị, cửa hàng bách hóa, cửa hàng tiện ích, cửa hàng ăn uống, nhà hàng có tổng khối tích từ 3.000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xml:space="preserve"> trở lên.</w:t>
      </w:r>
    </w:p>
    <w:p w14:paraId="085B2705"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12. Bảo tàng, thư viện, triển lãm, nhà trưng bày, nhà lưu trữ, nhà sách, nhà hội chợ có tổng khối tích từ 5.000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xml:space="preserve"> trở lên.</w:t>
      </w:r>
    </w:p>
    <w:p w14:paraId="2BF497A0"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13. Sân vận động có sức chứa từ 5.000 chỗ ngồi trở lên; nhà thi đấu thể thao, cung thể thao trong nhà, trung tâm thể dục, thể thao, trường đua, trường bắn, cơ sở thể thao khác được thành lập theo Luật Thể dục, thể thao có sức chứa từ 5.000 chỗ ngồi trở lên hoặc có tổng khối tích từ 5.000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xml:space="preserve"> trở lên.</w:t>
      </w:r>
    </w:p>
    <w:p w14:paraId="6169A06D"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14. Cảng hàng không, công trình tàu điện ngầm.</w:t>
      </w:r>
    </w:p>
    <w:p w14:paraId="2C3C647E"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15. Bến cảng biển; cảng cạn; cảng thủy nội địa; nhà chờ bến xe ô tô, nhà ga đường sắt, nhà chờ cáp treo vận chuyển người, trạm dừng nghỉ có tổng khối tích từ 1.500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xml:space="preserve"> trở lên; cơ sở đăng kiểm phương tiện giao thông cơ giới, cửa hàng kinh doanh, sửa chữa, bảo dưỡng ô tô, mô tô, xe gắn máy có diện tích kinh doanh từ 500 m</w:t>
      </w:r>
      <w:r w:rsidRPr="00275BCC">
        <w:rPr>
          <w:rFonts w:ascii="Times New Roman" w:eastAsia="Times New Roman" w:hAnsi="Times New Roman" w:cs="Times New Roman"/>
          <w:sz w:val="28"/>
          <w:szCs w:val="28"/>
          <w:vertAlign w:val="superscript"/>
          <w:lang w:val="vi-VN"/>
        </w:rPr>
        <w:t>2</w:t>
      </w:r>
      <w:r w:rsidRPr="00275BCC">
        <w:rPr>
          <w:rFonts w:ascii="Times New Roman" w:eastAsia="Times New Roman" w:hAnsi="Times New Roman" w:cs="Times New Roman"/>
          <w:sz w:val="28"/>
          <w:szCs w:val="28"/>
          <w:lang w:val="vi-VN"/>
        </w:rPr>
        <w:t xml:space="preserve"> trở lên hoặc có khối tích từ 5.000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xml:space="preserve"> trở lên.</w:t>
      </w:r>
    </w:p>
    <w:p w14:paraId="23E80905"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16. Gara để xe ô tô trong nhà có tổng khối tích từ 3.000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xml:space="preserve"> trở lên.</w:t>
      </w:r>
    </w:p>
    <w:p w14:paraId="17AED717"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17. Hầm đường bộ có chiều dài từ 500 m trở lên; hầm đường sắt có chiều dài từ 1.000 m trở lên.</w:t>
      </w:r>
    </w:p>
    <w:p w14:paraId="297E51C4" w14:textId="6D3F9F1E"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pacing w:val="2"/>
          <w:sz w:val="28"/>
          <w:szCs w:val="28"/>
          <w:lang w:val="vi-VN"/>
        </w:rPr>
      </w:pPr>
      <w:r w:rsidRPr="00275BCC">
        <w:rPr>
          <w:rFonts w:ascii="Times New Roman" w:eastAsia="Times New Roman" w:hAnsi="Times New Roman" w:cs="Times New Roman"/>
          <w:spacing w:val="2"/>
          <w:sz w:val="28"/>
          <w:szCs w:val="28"/>
          <w:lang w:val="vi-VN"/>
        </w:rPr>
        <w:t>18. Cơ sở hạt nhân; cơ sở sản xuất vật liệu nổ công nghiệp và tiền chất thuốc nổ.</w:t>
      </w:r>
    </w:p>
    <w:p w14:paraId="6E139FD2"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19. Cơ sở kinh doanh, bảo quản, vật liệu nổ công nghiệp và tiền chất thuốc nổ; kho vật liệu nổ công nghiệp, tiền chất thuốc nổ; cảng xuất, nhập vật liệu nổ công nghiệp, tiền chất thuốc nổ; kho vũ khí, công cụ hỗ trợ.</w:t>
      </w:r>
    </w:p>
    <w:p w14:paraId="01E73068"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20. Nhà máy lọc dầu; nhà máy chế biến khí; nhà máy sản xuất nhiên liệu sinh học có tổng công suất trên 500 nghìn tấn sản phẩm/năm; kho xăng dầu có tổng dung tích chứa trên 100.000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kho chứa khí hóa lỏng có tổng dung tích chứa trên 100.000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w:t>
      </w:r>
    </w:p>
    <w:p w14:paraId="1D38B5AA"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21. Cơ sở khai thác, chế biến, sản xuất, vận chuyển, kinh doanh, bảo quản dầu mỏ và sản phẩm dầu mỏ, khí đốt trên đất liền, kho dầu mỏ và sản phẩm dầu mỏ, kho khí đốt, trừ các trường hợp nêu tại Mục 25 Phụ lục này; cảng xuất, nhập dầu mỏ và sản phẩm dầu mỏ, khí đốt; cửa hàng kinh doanh xăng dầu, trạm cấp xăng dầu nội bộ có từ 01 cột bơm trở lên; cơ sở kinh doanh khí đốt, hệ thống cấp khí đốt trung tâm có tổng lượng khí tồn chứa từ 200 kg trở lên.</w:t>
      </w:r>
    </w:p>
    <w:p w14:paraId="239DF0DC"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22.</w:t>
      </w:r>
      <w:r w:rsidRPr="00275BCC">
        <w:rPr>
          <w:lang w:val="vi-VN"/>
        </w:rPr>
        <w:t xml:space="preserve"> </w:t>
      </w:r>
      <w:r w:rsidRPr="00275BCC">
        <w:rPr>
          <w:rFonts w:ascii="Times New Roman" w:eastAsia="Times New Roman" w:hAnsi="Times New Roman" w:cs="Times New Roman"/>
          <w:sz w:val="28"/>
          <w:szCs w:val="28"/>
          <w:lang w:val="vi-VN"/>
        </w:rPr>
        <w:t>Khu liên hợp gang thép có dung tích lò cao trên 1.000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xml:space="preserve">; nhà máy in tiền; nhà máy sản xuất, lắp ráp ô tô có tổng sản lượng trên 10.000 xe/năm; nhà </w:t>
      </w:r>
      <w:r w:rsidRPr="00275BCC">
        <w:rPr>
          <w:rFonts w:ascii="Times New Roman" w:eastAsia="Times New Roman" w:hAnsi="Times New Roman" w:cs="Times New Roman"/>
          <w:sz w:val="28"/>
          <w:szCs w:val="28"/>
          <w:lang w:val="vi-VN"/>
        </w:rPr>
        <w:lastRenderedPageBreak/>
        <w:t>máy sản xuất, lắp ráp xe máy có tổng sản lượng trên 500.000 xe/năm; nhà máy sản xuất hóa chất cơ bản có tổng sản lượng từ 10.000 tấn/năm trở lên; nhà máy sản xuất, chiết nạp sản phẩm hóa dầu có tổng sản lượng từ 50.000 tấn/năm trở lên; nhà máy sản xuất pin hóa học có tổng sản lượng trên 250 triệu viên/năm; nhà máy sản xuất, tái chế ắc quy có tổng sản lượng trên 300.000 KWh/năm; nhà máy sản xuất săm, lốp ô tô, máy kéo có tổng sản lượng trên 1 triệu chiếc/năm; nhà máy sản xuất sơn có tổng sản lượng trên 100.000 tấn/năm; nhà máy bột giấy và giấy có tổng sản lượng trên 100.000 tấn sản phẩm/năm; nhà máy sản xuất thuốc lá có tổng sản lượng trên 200 triệu bao/năm; nhà máy sản xuất/lắp ráp điện tử (tivi, máy tính và sản phẩm tương đương), điện lạnh (điều hòa, tủ lạnh và sản phẩm tương đương) có tổng sản lượng trên 300 nghìn sản phẩm/năm; nhà máy chế tạo linh kiện, phụ tùng thông tin và điện tử (mạch in điện tử, IC và sản phẩm tương đương) có tổng sản lượng trên 400 triệu tấn/năm.</w:t>
      </w:r>
    </w:p>
    <w:p w14:paraId="7D2DF7F1"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bCs/>
          <w:iCs/>
          <w:sz w:val="28"/>
          <w:szCs w:val="28"/>
          <w:lang w:val="vi-VN"/>
        </w:rPr>
      </w:pPr>
      <w:r w:rsidRPr="00275BCC">
        <w:rPr>
          <w:rFonts w:ascii="Times New Roman" w:eastAsia="Times New Roman" w:hAnsi="Times New Roman" w:cs="Times New Roman"/>
          <w:sz w:val="28"/>
          <w:szCs w:val="28"/>
          <w:lang w:val="vi-VN"/>
        </w:rPr>
        <w:t>23. Công trình sản xuất công nghiệp có hạng nguy hiểm cháy, nổ A, B có tổng khối tích từ 1.500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xml:space="preserve"> trở lên, hạng nguy hiểm cháy, nổ C có tổng khối tích từ 5.000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xml:space="preserve"> trở lên, </w:t>
      </w:r>
      <w:r w:rsidRPr="00275BCC">
        <w:rPr>
          <w:rFonts w:ascii="Times New Roman" w:eastAsia="Times New Roman" w:hAnsi="Times New Roman" w:cs="Times New Roman"/>
          <w:bCs/>
          <w:iCs/>
          <w:sz w:val="28"/>
          <w:szCs w:val="28"/>
          <w:lang w:val="vi-VN"/>
        </w:rPr>
        <w:t>hạng nguy hiểm cháy, nổ D, E có khối tích từ 5.000 m</w:t>
      </w:r>
      <w:r w:rsidRPr="00275BCC">
        <w:rPr>
          <w:rFonts w:ascii="Times New Roman" w:eastAsia="Times New Roman" w:hAnsi="Times New Roman" w:cs="Times New Roman"/>
          <w:bCs/>
          <w:iCs/>
          <w:sz w:val="28"/>
          <w:szCs w:val="28"/>
          <w:vertAlign w:val="superscript"/>
          <w:lang w:val="vi-VN"/>
        </w:rPr>
        <w:t>3</w:t>
      </w:r>
      <w:r w:rsidRPr="00275BCC">
        <w:rPr>
          <w:rFonts w:ascii="Times New Roman" w:eastAsia="Times New Roman" w:hAnsi="Times New Roman" w:cs="Times New Roman"/>
          <w:bCs/>
          <w:iCs/>
          <w:sz w:val="28"/>
          <w:szCs w:val="28"/>
          <w:lang w:val="vi-VN"/>
        </w:rPr>
        <w:t xml:space="preserve"> trở lên, trừ các trường hợp nêu tại Mục 27 Phụ lục này.</w:t>
      </w:r>
    </w:p>
    <w:p w14:paraId="678DD874"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bCs/>
          <w:iCs/>
          <w:sz w:val="28"/>
          <w:szCs w:val="28"/>
          <w:lang w:val="vi-VN"/>
        </w:rPr>
      </w:pPr>
      <w:r w:rsidRPr="00275BCC">
        <w:rPr>
          <w:rFonts w:ascii="Times New Roman" w:eastAsia="Times New Roman" w:hAnsi="Times New Roman" w:cs="Times New Roman"/>
          <w:bCs/>
          <w:iCs/>
          <w:sz w:val="28"/>
          <w:szCs w:val="28"/>
          <w:lang w:val="vi-VN"/>
        </w:rPr>
        <w:t>24. Công trình nhiệt điện có tổng công suất trên 600 MW; công trình thuỷ điện có tổng công suất trên 1.000 MW; công trình điện rác có tổng công suất trên 70 MW; trạm biến áp điện áp từ 500kV trở lên.</w:t>
      </w:r>
    </w:p>
    <w:p w14:paraId="47B5B661"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25. Công trình nhà máy điện, trừ các trường hợp nêu tại Mục 29 Phụ lục này; trạm biến áp có điện áp từ 110 kV đến dưới 500kV.</w:t>
      </w:r>
    </w:p>
    <w:p w14:paraId="212271B8"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26. Hầm có hoạt động sản xuất, bảo quản, sử dụng chất cháy, nổ và có tổng khối tích từ 1.000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xml:space="preserve"> trở lên. Nhà kho hàng hóa, vật tư cháy được hoặc có bao bì cháy được có tổng khối tích từ 3.000 m</w:t>
      </w:r>
      <w:r w:rsidRPr="00275BCC">
        <w:rPr>
          <w:rFonts w:ascii="Times New Roman" w:eastAsia="Times New Roman" w:hAnsi="Times New Roman" w:cs="Times New Roman"/>
          <w:sz w:val="28"/>
          <w:szCs w:val="28"/>
          <w:vertAlign w:val="superscript"/>
          <w:lang w:val="vi-VN"/>
        </w:rPr>
        <w:t>3</w:t>
      </w:r>
      <w:r w:rsidRPr="00275BCC">
        <w:rPr>
          <w:rFonts w:ascii="Times New Roman" w:eastAsia="Times New Roman" w:hAnsi="Times New Roman" w:cs="Times New Roman"/>
          <w:sz w:val="28"/>
          <w:szCs w:val="28"/>
          <w:lang w:val="vi-VN"/>
        </w:rPr>
        <w:t xml:space="preserve"> trở lên.</w:t>
      </w:r>
    </w:p>
    <w:p w14:paraId="41716873" w14:textId="4FFF9525"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 xml:space="preserve">27. Công trình hạ tầng kỹ thuật có liên quan đến phòng cháy và chữa cháy của khu công nghiệp có tổng diện tích từ </w:t>
      </w:r>
      <w:r w:rsidR="00A36BA8">
        <w:rPr>
          <w:rFonts w:ascii="Times New Roman" w:eastAsia="Times New Roman" w:hAnsi="Times New Roman" w:cs="Times New Roman"/>
          <w:sz w:val="28"/>
          <w:szCs w:val="28"/>
        </w:rPr>
        <w:t>3</w:t>
      </w:r>
      <w:r w:rsidRPr="00275BCC">
        <w:rPr>
          <w:rFonts w:ascii="Times New Roman" w:eastAsia="Times New Roman" w:hAnsi="Times New Roman" w:cs="Times New Roman"/>
          <w:sz w:val="28"/>
          <w:szCs w:val="28"/>
          <w:lang w:val="vi-VN"/>
        </w:rPr>
        <w:t>00 ha.</w:t>
      </w:r>
    </w:p>
    <w:p w14:paraId="36C0DDFE" w14:textId="77777777" w:rsidR="00367AFD" w:rsidRPr="00275BCC" w:rsidRDefault="00367AFD" w:rsidP="00036E15">
      <w:pPr>
        <w:snapToGrid w:val="0"/>
        <w:spacing w:before="120" w:after="120" w:line="346" w:lineRule="exact"/>
        <w:ind w:firstLine="709"/>
        <w:jc w:val="both"/>
        <w:rPr>
          <w:rFonts w:ascii="Times New Roman" w:eastAsia="Times New Roman" w:hAnsi="Times New Roman" w:cs="Times New Roman"/>
          <w:sz w:val="28"/>
          <w:szCs w:val="28"/>
          <w:lang w:val="vi-VN"/>
        </w:rPr>
      </w:pPr>
      <w:r w:rsidRPr="00275BCC">
        <w:rPr>
          <w:rFonts w:ascii="Times New Roman" w:eastAsia="Times New Roman" w:hAnsi="Times New Roman" w:cs="Times New Roman"/>
          <w:sz w:val="28"/>
          <w:szCs w:val="28"/>
          <w:lang w:val="vi-VN"/>
        </w:rPr>
        <w:t>28. Công trình hạ tầng kỹ thuật có liên quan đến phòng cháy và chữa cháy của đô thị, khu kinh tế, khu công nghiệp, cụm công nghiệp, khu chế xuất, khu công nghệ cao và các khu chức năng khác theo Luật Quy hoạch thuộc thẩm quyền phê duyệt của cấp huyện trở lên, trừ các trường hợp nêu tại Mục 27 Phụ lục này.</w:t>
      </w:r>
    </w:p>
    <w:p w14:paraId="3A967427" w14:textId="3A34FDB3" w:rsidR="000D744F" w:rsidRPr="006E7CBD" w:rsidRDefault="00367AFD" w:rsidP="006E7CBD">
      <w:pPr>
        <w:snapToGrid w:val="0"/>
        <w:spacing w:before="120" w:after="120" w:line="346" w:lineRule="exact"/>
        <w:ind w:firstLine="709"/>
        <w:jc w:val="both"/>
        <w:rPr>
          <w:rFonts w:ascii="Times New Roman" w:hAnsi="Times New Roman" w:cs="Times New Roman"/>
          <w:sz w:val="28"/>
          <w:szCs w:val="28"/>
          <w:lang w:val="vi-VN"/>
        </w:rPr>
      </w:pPr>
      <w:r w:rsidRPr="00275BCC">
        <w:rPr>
          <w:rFonts w:ascii="Times New Roman" w:eastAsia="Times New Roman" w:hAnsi="Times New Roman" w:cs="Times New Roman"/>
          <w:sz w:val="28"/>
          <w:szCs w:val="28"/>
          <w:lang w:val="vi-VN"/>
        </w:rPr>
        <w:t>29. Phương tiện giao thông cơ giới có yêu cầu đặc biệt về bảo đảm an toàn phòng cháy và chữa cháy: Phương tiện giao thông đường sắt, phương tiện đường thủy có chiều dài từ 20 m trở lên vận chuyển hành khách, vận chuyển xăng, dầu, chất lỏng dễ cháy, khí cháy, vật liệu nổ, hóa chất có nguy hiểm về cháy, nổ.</w:t>
      </w:r>
      <w:r w:rsidR="006E7CBD" w:rsidRPr="006E7CBD">
        <w:rPr>
          <w:rFonts w:ascii="Times New Roman" w:eastAsia="Times New Roman" w:hAnsi="Times New Roman" w:cs="Times New Roman"/>
          <w:sz w:val="28"/>
          <w:szCs w:val="28"/>
          <w:lang w:val="vi-VN"/>
        </w:rPr>
        <w:t>/.</w:t>
      </w:r>
    </w:p>
    <w:sectPr w:rsidR="000D744F" w:rsidRPr="006E7CBD" w:rsidSect="00036E15">
      <w:headerReference w:type="default" r:id="rId6"/>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1824" w14:textId="77777777" w:rsidR="0047633D" w:rsidRDefault="0047633D" w:rsidP="00F60E02">
      <w:pPr>
        <w:spacing w:after="0" w:line="240" w:lineRule="auto"/>
      </w:pPr>
      <w:r>
        <w:separator/>
      </w:r>
    </w:p>
  </w:endnote>
  <w:endnote w:type="continuationSeparator" w:id="0">
    <w:p w14:paraId="16F2A645" w14:textId="77777777" w:rsidR="0047633D" w:rsidRDefault="0047633D" w:rsidP="00F6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0C6A" w14:textId="77777777" w:rsidR="0047633D" w:rsidRDefault="0047633D" w:rsidP="00F60E02">
      <w:pPr>
        <w:spacing w:after="0" w:line="240" w:lineRule="auto"/>
      </w:pPr>
      <w:r>
        <w:separator/>
      </w:r>
    </w:p>
  </w:footnote>
  <w:footnote w:type="continuationSeparator" w:id="0">
    <w:p w14:paraId="66ED7A7F" w14:textId="77777777" w:rsidR="0047633D" w:rsidRDefault="0047633D" w:rsidP="00F60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850519"/>
      <w:docPartObj>
        <w:docPartGallery w:val="Page Numbers (Top of Page)"/>
        <w:docPartUnique/>
      </w:docPartObj>
    </w:sdtPr>
    <w:sdtEndPr>
      <w:rPr>
        <w:rFonts w:ascii="Times New Roman" w:hAnsi="Times New Roman" w:cs="Times New Roman"/>
        <w:noProof/>
        <w:sz w:val="28"/>
        <w:szCs w:val="28"/>
      </w:rPr>
    </w:sdtEndPr>
    <w:sdtContent>
      <w:p w14:paraId="7CFD9A1B" w14:textId="3A7ABA90" w:rsidR="00B01F16" w:rsidRPr="00B01F16" w:rsidRDefault="00B01F16">
        <w:pPr>
          <w:pStyle w:val="Header"/>
          <w:jc w:val="center"/>
          <w:rPr>
            <w:rFonts w:ascii="Times New Roman" w:hAnsi="Times New Roman" w:cs="Times New Roman"/>
            <w:sz w:val="28"/>
            <w:szCs w:val="28"/>
          </w:rPr>
        </w:pPr>
        <w:r w:rsidRPr="00B01F16">
          <w:rPr>
            <w:rFonts w:ascii="Times New Roman" w:hAnsi="Times New Roman" w:cs="Times New Roman"/>
            <w:sz w:val="28"/>
            <w:szCs w:val="28"/>
          </w:rPr>
          <w:fldChar w:fldCharType="begin"/>
        </w:r>
        <w:r w:rsidRPr="00B01F16">
          <w:rPr>
            <w:rFonts w:ascii="Times New Roman" w:hAnsi="Times New Roman" w:cs="Times New Roman"/>
            <w:sz w:val="28"/>
            <w:szCs w:val="28"/>
          </w:rPr>
          <w:instrText xml:space="preserve"> PAGE   \* MERGEFORMAT </w:instrText>
        </w:r>
        <w:r w:rsidRPr="00B01F16">
          <w:rPr>
            <w:rFonts w:ascii="Times New Roman" w:hAnsi="Times New Roman" w:cs="Times New Roman"/>
            <w:sz w:val="28"/>
            <w:szCs w:val="28"/>
          </w:rPr>
          <w:fldChar w:fldCharType="separate"/>
        </w:r>
        <w:r w:rsidRPr="00B01F16">
          <w:rPr>
            <w:rFonts w:ascii="Times New Roman" w:hAnsi="Times New Roman" w:cs="Times New Roman"/>
            <w:noProof/>
            <w:sz w:val="28"/>
            <w:szCs w:val="28"/>
          </w:rPr>
          <w:t>2</w:t>
        </w:r>
        <w:r w:rsidRPr="00B01F16">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2"/>
    <w:rsid w:val="00036E15"/>
    <w:rsid w:val="000D744F"/>
    <w:rsid w:val="00146BF5"/>
    <w:rsid w:val="00161253"/>
    <w:rsid w:val="00163F22"/>
    <w:rsid w:val="00275BCC"/>
    <w:rsid w:val="00316D61"/>
    <w:rsid w:val="00367AFD"/>
    <w:rsid w:val="00406D1A"/>
    <w:rsid w:val="004626DF"/>
    <w:rsid w:val="0047633D"/>
    <w:rsid w:val="004E2F94"/>
    <w:rsid w:val="00504955"/>
    <w:rsid w:val="006178ED"/>
    <w:rsid w:val="006A1E52"/>
    <w:rsid w:val="006C299D"/>
    <w:rsid w:val="006E7CBD"/>
    <w:rsid w:val="00727B38"/>
    <w:rsid w:val="00783F2D"/>
    <w:rsid w:val="0087213F"/>
    <w:rsid w:val="008E0834"/>
    <w:rsid w:val="009B39BC"/>
    <w:rsid w:val="009D4444"/>
    <w:rsid w:val="00A36BA8"/>
    <w:rsid w:val="00B01F16"/>
    <w:rsid w:val="00B7377C"/>
    <w:rsid w:val="00D10520"/>
    <w:rsid w:val="00DB6D53"/>
    <w:rsid w:val="00E264D6"/>
    <w:rsid w:val="00E41211"/>
    <w:rsid w:val="00E93104"/>
    <w:rsid w:val="00F33678"/>
    <w:rsid w:val="00F60E02"/>
    <w:rsid w:val="00F8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3D24"/>
  <w15:chartTrackingRefBased/>
  <w15:docId w15:val="{CABFBF95-EA25-47D8-84DC-7A13B8C1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0E02"/>
    <w:pPr>
      <w:spacing w:after="0" w:line="240" w:lineRule="auto"/>
    </w:pPr>
    <w:rPr>
      <w:rFonts w:ascii="Arial" w:eastAsia="Times New Roman" w:hAnsi="Arial" w:cs="Arial"/>
      <w:sz w:val="20"/>
      <w:szCs w:val="20"/>
      <w:lang w:eastAsia="en-US"/>
    </w:rPr>
  </w:style>
  <w:style w:type="character" w:customStyle="1" w:styleId="FootnoteTextChar">
    <w:name w:val="Footnote Text Char"/>
    <w:basedOn w:val="DefaultParagraphFont"/>
    <w:link w:val="FootnoteText"/>
    <w:uiPriority w:val="99"/>
    <w:semiHidden/>
    <w:rsid w:val="00F60E02"/>
    <w:rPr>
      <w:rFonts w:ascii="Arial" w:eastAsia="Times New Roman" w:hAnsi="Arial" w:cs="Arial"/>
      <w:sz w:val="20"/>
      <w:szCs w:val="20"/>
      <w:lang w:eastAsia="en-US"/>
    </w:rPr>
  </w:style>
  <w:style w:type="character" w:styleId="FootnoteReference">
    <w:name w:val="footnote reference"/>
    <w:basedOn w:val="DefaultParagraphFont"/>
    <w:uiPriority w:val="99"/>
    <w:semiHidden/>
    <w:unhideWhenUsed/>
    <w:rsid w:val="00F60E02"/>
    <w:rPr>
      <w:vertAlign w:val="superscript"/>
    </w:rPr>
  </w:style>
  <w:style w:type="character" w:styleId="Emphasis">
    <w:name w:val="Emphasis"/>
    <w:basedOn w:val="DefaultParagraphFont"/>
    <w:uiPriority w:val="20"/>
    <w:qFormat/>
    <w:rsid w:val="00F60E02"/>
    <w:rPr>
      <w:i/>
      <w:iCs/>
    </w:rPr>
  </w:style>
  <w:style w:type="paragraph" w:styleId="Header">
    <w:name w:val="header"/>
    <w:basedOn w:val="Normal"/>
    <w:link w:val="HeaderChar"/>
    <w:uiPriority w:val="99"/>
    <w:unhideWhenUsed/>
    <w:rsid w:val="00B01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F16"/>
  </w:style>
  <w:style w:type="paragraph" w:styleId="Footer">
    <w:name w:val="footer"/>
    <w:basedOn w:val="Normal"/>
    <w:link w:val="FooterChar"/>
    <w:uiPriority w:val="99"/>
    <w:unhideWhenUsed/>
    <w:rsid w:val="00B01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F16"/>
  </w:style>
  <w:style w:type="paragraph" w:styleId="NormalWeb">
    <w:name w:val="Normal (Web)"/>
    <w:basedOn w:val="Normal"/>
    <w:uiPriority w:val="99"/>
    <w:unhideWhenUsed/>
    <w:rsid w:val="000D744F"/>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DB319D-39C1-4228-9172-BE6D8889F77E}"/>
</file>

<file path=customXml/itemProps2.xml><?xml version="1.0" encoding="utf-8"?>
<ds:datastoreItem xmlns:ds="http://schemas.openxmlformats.org/officeDocument/2006/customXml" ds:itemID="{D736E03D-84A1-4A5B-97DC-901944FFD2C5}"/>
</file>

<file path=customXml/itemProps3.xml><?xml version="1.0" encoding="utf-8"?>
<ds:datastoreItem xmlns:ds="http://schemas.openxmlformats.org/officeDocument/2006/customXml" ds:itemID="{B256F83E-E749-43A3-997D-74E948D14959}"/>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maytinhdell0123@outlook.com.vn</cp:lastModifiedBy>
  <cp:revision>2</cp:revision>
  <cp:lastPrinted>2023-03-31T08:12:00Z</cp:lastPrinted>
  <dcterms:created xsi:type="dcterms:W3CDTF">2023-04-12T07:32:00Z</dcterms:created>
  <dcterms:modified xsi:type="dcterms:W3CDTF">2023-04-12T07:32:00Z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